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215EF9">
        <w:rPr>
          <w:sz w:val="22"/>
          <w:szCs w:val="22"/>
        </w:rPr>
        <w:t>balan</w:t>
      </w:r>
      <w:r w:rsidR="00D66BEA">
        <w:rPr>
          <w:sz w:val="22"/>
          <w:szCs w:val="22"/>
        </w:rPr>
        <w:t>džio 24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D66BEA" w:rsidRPr="00D66BEA" w:rsidRDefault="00D66BEA" w:rsidP="00D66BEA">
      <w:pPr>
        <w:tabs>
          <w:tab w:val="right" w:leader="underscore" w:pos="85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B</w:t>
      </w:r>
      <w:r w:rsidRPr="00D66BEA">
        <w:rPr>
          <w:i/>
          <w:sz w:val="22"/>
          <w:szCs w:val="22"/>
        </w:rPr>
        <w:t xml:space="preserve">unkerio ir </w:t>
      </w:r>
      <w:proofErr w:type="spellStart"/>
      <w:r w:rsidRPr="00D66BEA">
        <w:rPr>
          <w:i/>
          <w:sz w:val="22"/>
          <w:szCs w:val="22"/>
        </w:rPr>
        <w:t>hidro</w:t>
      </w:r>
      <w:proofErr w:type="spellEnd"/>
      <w:r w:rsidRPr="00D66BEA">
        <w:rPr>
          <w:i/>
          <w:sz w:val="22"/>
          <w:szCs w:val="22"/>
        </w:rPr>
        <w:t xml:space="preserve"> stotelės cilindrų pirkimas</w:t>
      </w:r>
    </w:p>
    <w:p w:rsidR="00392F14" w:rsidRPr="00F1709B" w:rsidRDefault="00392F14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D66BEA" w:rsidRDefault="00B24EEF" w:rsidP="00392F14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 w:rsidR="00215EF9">
        <w:t>Marijampolės šiluma</w:t>
      </w:r>
      <w:r w:rsidRPr="005F7A88">
        <w:t xml:space="preserve">“ </w:t>
      </w:r>
      <w:r w:rsidR="00215EF9">
        <w:t xml:space="preserve">numato įsigyti </w:t>
      </w:r>
      <w:r w:rsidR="00D66BEA" w:rsidRPr="00D66BEA">
        <w:t xml:space="preserve">Bunkerio ir </w:t>
      </w:r>
      <w:proofErr w:type="spellStart"/>
      <w:r w:rsidR="00D66BEA" w:rsidRPr="00D66BEA">
        <w:t>hidro</w:t>
      </w:r>
      <w:proofErr w:type="spellEnd"/>
      <w:r w:rsidR="00D66BEA" w:rsidRPr="00D66BEA">
        <w:t xml:space="preserve"> stotelės cilindr</w:t>
      </w:r>
      <w:r w:rsidR="00D66BEA" w:rsidRPr="00D66BEA">
        <w:t>us</w:t>
      </w:r>
      <w:r w:rsidR="00215EF9">
        <w:t>.</w:t>
      </w:r>
    </w:p>
    <w:p w:rsidR="00392F14" w:rsidRPr="00F1709B" w:rsidRDefault="00392F14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215EF9">
        <w:rPr>
          <w:i/>
          <w:sz w:val="22"/>
          <w:szCs w:val="22"/>
        </w:rPr>
        <w:t>rekės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</w:t>
      </w:r>
      <w:bookmarkStart w:id="0" w:name="_GoBack"/>
      <w:bookmarkEnd w:id="0"/>
      <w:r w:rsidRPr="00F1709B">
        <w:rPr>
          <w:sz w:val="22"/>
          <w:szCs w:val="22"/>
        </w:rPr>
        <w:t>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D66BEA" w:rsidP="0050122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2015-04-24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66BEA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20</cp:revision>
  <cp:lastPrinted>2012-04-20T10:39:00Z</cp:lastPrinted>
  <dcterms:created xsi:type="dcterms:W3CDTF">2012-02-21T08:08:00Z</dcterms:created>
  <dcterms:modified xsi:type="dcterms:W3CDTF">2015-04-24T11:37:00Z</dcterms:modified>
</cp:coreProperties>
</file>