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AFC3" w14:textId="77777777" w:rsidR="00E51587" w:rsidRDefault="00E51587">
      <w:pPr>
        <w:tabs>
          <w:tab w:val="center" w:pos="4153"/>
          <w:tab w:val="right" w:pos="8306"/>
        </w:tabs>
        <w:jc w:val="both"/>
        <w:rPr>
          <w:lang w:eastAsia="lt-LT"/>
        </w:rPr>
      </w:pPr>
      <w:bookmarkStart w:id="0" w:name="_GoBack"/>
      <w:bookmarkEnd w:id="0"/>
    </w:p>
    <w:p w14:paraId="18FBFA42" w14:textId="4F301AB1" w:rsidR="00E51587" w:rsidRDefault="007122BF">
      <w:pPr>
        <w:jc w:val="center"/>
        <w:rPr>
          <w:b/>
          <w:caps/>
          <w:lang w:eastAsia="lt-LT"/>
        </w:rPr>
      </w:pPr>
      <w:r>
        <w:rPr>
          <w:b/>
          <w:caps/>
          <w:noProof/>
          <w:lang w:val="en-US"/>
        </w:rPr>
        <w:drawing>
          <wp:inline distT="0" distB="0" distL="0" distR="0" wp14:anchorId="4433A063" wp14:editId="1FB3C8EE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F83EB" w14:textId="51884AC1" w:rsidR="00E51587" w:rsidRDefault="007122BF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 xml:space="preserve">vALSTYBINĖ ENERGETIKOS REGULIAVIMO TARYBA </w:t>
      </w:r>
    </w:p>
    <w:p w14:paraId="25C99633" w14:textId="77777777" w:rsidR="00E51587" w:rsidRDefault="00E51587">
      <w:pPr>
        <w:jc w:val="center"/>
        <w:rPr>
          <w:b/>
          <w:caps/>
          <w:lang w:eastAsia="lt-LT"/>
        </w:rPr>
      </w:pPr>
    </w:p>
    <w:p w14:paraId="0B881A87" w14:textId="77777777" w:rsidR="00E51587" w:rsidRDefault="007122BF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NUTARIMAS</w:t>
      </w:r>
    </w:p>
    <w:p w14:paraId="7F6E5BF2" w14:textId="77777777" w:rsidR="00E51587" w:rsidRDefault="007122BF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DĖL UAB „LITESKO“ FILIALO „VILKAVIŠKIO ŠILUMA“ šilumos bazinės KAINos dedamųjų nustatymo</w:t>
      </w:r>
    </w:p>
    <w:p w14:paraId="47CA47E1" w14:textId="77777777" w:rsidR="00E51587" w:rsidRDefault="00E51587">
      <w:pPr>
        <w:jc w:val="center"/>
        <w:rPr>
          <w:b/>
          <w:caps/>
          <w:szCs w:val="24"/>
          <w:lang w:eastAsia="lt-LT"/>
        </w:rPr>
      </w:pPr>
    </w:p>
    <w:p w14:paraId="36344B0C" w14:textId="7876D23A" w:rsidR="00E51587" w:rsidRDefault="007122BF">
      <w:pPr>
        <w:jc w:val="center"/>
        <w:rPr>
          <w:lang w:eastAsia="lt-LT"/>
        </w:rPr>
      </w:pPr>
      <w:r>
        <w:rPr>
          <w:lang w:eastAsia="lt-LT"/>
        </w:rPr>
        <w:t>2019 m. gruodžio 20  d. Nr. O3E- 879</w:t>
      </w:r>
    </w:p>
    <w:p w14:paraId="0F2FC9B4" w14:textId="77777777" w:rsidR="00E51587" w:rsidRDefault="007122BF">
      <w:pPr>
        <w:jc w:val="center"/>
        <w:rPr>
          <w:lang w:eastAsia="lt-LT"/>
        </w:rPr>
      </w:pPr>
      <w:r>
        <w:rPr>
          <w:lang w:eastAsia="lt-LT"/>
        </w:rPr>
        <w:t>Vilnius</w:t>
      </w:r>
    </w:p>
    <w:p w14:paraId="3759B6AA" w14:textId="77777777" w:rsidR="00E51587" w:rsidRDefault="00E51587">
      <w:pPr>
        <w:ind w:firstLine="720"/>
        <w:jc w:val="both"/>
        <w:rPr>
          <w:szCs w:val="24"/>
          <w:lang w:eastAsia="lt-LT"/>
        </w:rPr>
      </w:pPr>
    </w:p>
    <w:p w14:paraId="74A8B057" w14:textId="77777777" w:rsidR="007122BF" w:rsidRDefault="007122BF">
      <w:pPr>
        <w:ind w:firstLine="720"/>
        <w:jc w:val="both"/>
        <w:rPr>
          <w:szCs w:val="24"/>
          <w:lang w:eastAsia="lt-LT"/>
        </w:rPr>
      </w:pPr>
    </w:p>
    <w:p w14:paraId="07C15B0C" w14:textId="5C75E7CF" w:rsidR="00E51587" w:rsidRDefault="007122BF">
      <w:pPr>
        <w:ind w:firstLine="567"/>
        <w:jc w:val="both"/>
        <w:rPr>
          <w:szCs w:val="24"/>
        </w:rPr>
      </w:pPr>
      <w:r>
        <w:t xml:space="preserve">Vadovaudamasi Lietuvos Respublikos šilumos ūkio įstatymo </w:t>
      </w:r>
      <w:r>
        <w:rPr>
          <w:szCs w:val="24"/>
        </w:rPr>
        <w:t xml:space="preserve">32  straipsnio 6 dalimi bei Šilumos kainų nustatymo metodika, patvirtinta Valstybinės kainų ir energetikos kontrolės komisijos </w:t>
      </w:r>
      <w:r>
        <w:rPr>
          <w:bCs/>
        </w:rPr>
        <w:t>2009 m. liepos 8 d. nutarimu Nr. O3-96 „Dėl Šilumos kainų nustatymo metodikos“</w:t>
      </w:r>
      <w:r>
        <w:rPr>
          <w:szCs w:val="24"/>
        </w:rPr>
        <w:t xml:space="preserve">, </w:t>
      </w:r>
      <w:r>
        <w:t>įvertinusi UAB „</w:t>
      </w:r>
      <w:proofErr w:type="spellStart"/>
      <w:r>
        <w:t>Litesko</w:t>
      </w:r>
      <w:proofErr w:type="spellEnd"/>
      <w:r>
        <w:t xml:space="preserve">“ </w:t>
      </w:r>
      <w:r>
        <w:rPr>
          <w:bCs/>
        </w:rPr>
        <w:t xml:space="preserve">2017 m. birželio 9 d. raštu Nr. 1.2-589 pateiktą šilumos bazinės kainos dedamųjų projektą bei 2017 m. gruodžio 22 d. raštu Nr. 1000-1611284, 2018 m. sausio 8 d. raštu Nr. 1.21-20, 2018 m. sausio 22 d. raštu Nr. 1.21-95, 2018 m. vasario 7 d. raštu Nr. 1.21-189, 2018 m. spalio 1 d. raštu Nr. 1.21-880, 2018 m. spalio 9 d. raštu Nr. 1.21-905,  2018 m. gruodžio 19 d. raštu Nr. 1.21-1183, 2018 m. gruodžio 21 d. raštu Nr. 1.21-1182, 2019 m. sausio 11 d. raštu Nr. 1.21-46, 2019 m. sausio 25 d. raštu Nr. 1.21-91, 2019 m. kovo 1 d. raštu Nr. 1.21-231, 2019 m. kovo 19 d. raštu Nr. 1.21-295, 2019 m. gegužės 17 d. raštu Nr. 1.21-537, </w:t>
      </w:r>
      <w:r>
        <w:t>2019 m. rugpjūčio 6 d. el. laišku (</w:t>
      </w:r>
      <w:proofErr w:type="spellStart"/>
      <w:r>
        <w:t>reg</w:t>
      </w:r>
      <w:proofErr w:type="spellEnd"/>
      <w:r>
        <w:t>. Nr. R1-7959) ir 2019 m. lapkričio 15 d. el. laišku (</w:t>
      </w:r>
      <w:proofErr w:type="spellStart"/>
      <w:r>
        <w:t>reg</w:t>
      </w:r>
      <w:proofErr w:type="spellEnd"/>
      <w:r>
        <w:t xml:space="preserve">. Nr. R1-11686) pateiktą papildomą informaciją ir (ar) paaiškinimus bei atsižvelgdama į Valstybinės energetikos reguliavimo tarybos </w:t>
      </w:r>
      <w:r>
        <w:rPr>
          <w:szCs w:val="24"/>
        </w:rPr>
        <w:t>(toliau – Taryba)</w:t>
      </w:r>
      <w:r>
        <w:t xml:space="preserve"> </w:t>
      </w:r>
      <w:r>
        <w:rPr>
          <w:szCs w:val="24"/>
        </w:rPr>
        <w:t>Šilumos ir vandens departamento Šilumos bazinių kainų skyriaus 2019 m. gruodžio 13 d. pažymą Nr. O5E-772 „Dėl UAB „</w:t>
      </w:r>
      <w:proofErr w:type="spellStart"/>
      <w:r>
        <w:rPr>
          <w:szCs w:val="24"/>
        </w:rPr>
        <w:t>Litesko</w:t>
      </w:r>
      <w:proofErr w:type="spellEnd"/>
      <w:r>
        <w:rPr>
          <w:szCs w:val="24"/>
        </w:rPr>
        <w:t>“ filialo „Vilkaviškio šiluma“ šilumos bazinės kainos ir karšto vandens kainos dedamųjų nustatymo“, Taryba</w:t>
      </w:r>
      <w:r>
        <w:t xml:space="preserve"> n u t a r i a:</w:t>
      </w:r>
    </w:p>
    <w:p w14:paraId="1FCE932F" w14:textId="77777777" w:rsidR="00E51587" w:rsidRDefault="007122BF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Nustatyti UAB „</w:t>
      </w:r>
      <w:proofErr w:type="spellStart"/>
      <w:r>
        <w:rPr>
          <w:szCs w:val="24"/>
          <w:lang w:eastAsia="lt-LT"/>
        </w:rPr>
        <w:t>Litesko</w:t>
      </w:r>
      <w:proofErr w:type="spellEnd"/>
      <w:r>
        <w:rPr>
          <w:szCs w:val="24"/>
          <w:lang w:eastAsia="lt-LT"/>
        </w:rPr>
        <w:t>“ filialo „Vilkaviškio šiluma“ iki 2022 m. gruodžio 31 d. šilumos bazinės kainos dedamąsias (be pridėtinės vertės mokesčio):</w:t>
      </w:r>
    </w:p>
    <w:p w14:paraId="52F131EA" w14:textId="77777777" w:rsidR="00E51587" w:rsidRDefault="007122BF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1.1. šilumos (produkto) gamybos vienanarę kainą:</w:t>
      </w:r>
    </w:p>
    <w:p w14:paraId="0A14AE8F" w14:textId="77777777" w:rsidR="00E51587" w:rsidRDefault="007122BF">
      <w:pPr>
        <w:tabs>
          <w:tab w:val="left" w:pos="0"/>
          <w:tab w:val="left" w:pos="990"/>
          <w:tab w:val="left" w:pos="1080"/>
          <w:tab w:val="left" w:pos="1260"/>
          <w:tab w:val="left" w:pos="144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1.1.1. šilumos (produkto) gamybos vienanarės kainos, išreiškiamos formule 2,45 + T</w:t>
      </w:r>
      <w:r>
        <w:rPr>
          <w:rFonts w:eastAsia="Calibri"/>
          <w:szCs w:val="24"/>
          <w:vertAlign w:val="subscript"/>
        </w:rPr>
        <w:t>HG,KD</w:t>
      </w:r>
      <w:r>
        <w:rPr>
          <w:rFonts w:eastAsia="Calibri"/>
          <w:szCs w:val="24"/>
        </w:rPr>
        <w:t>, dedamąsias:</w:t>
      </w:r>
    </w:p>
    <w:p w14:paraId="5679618A" w14:textId="77777777" w:rsidR="00E51587" w:rsidRDefault="007122BF">
      <w:pPr>
        <w:tabs>
          <w:tab w:val="left" w:pos="0"/>
          <w:tab w:val="left" w:pos="990"/>
          <w:tab w:val="left" w:pos="1080"/>
          <w:tab w:val="left" w:pos="1260"/>
          <w:tab w:val="left" w:pos="144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1.1.1.1. vienanarės kainos pastoviąją dedamąją – </w:t>
      </w:r>
      <w:r>
        <w:rPr>
          <w:rFonts w:eastAsia="Calibri"/>
          <w:szCs w:val="24"/>
          <w:lang w:val="en-US"/>
        </w:rPr>
        <w:t xml:space="preserve">2,45 </w:t>
      </w:r>
      <w:proofErr w:type="spellStart"/>
      <w:r>
        <w:rPr>
          <w:rFonts w:eastAsia="Calibri"/>
          <w:szCs w:val="24"/>
          <w:lang w:val="en-US"/>
        </w:rPr>
        <w:t>ct</w:t>
      </w:r>
      <w:proofErr w:type="spellEnd"/>
      <w:r>
        <w:rPr>
          <w:rFonts w:eastAsia="Calibri"/>
          <w:szCs w:val="24"/>
          <w:lang w:val="en-US"/>
        </w:rPr>
        <w:t xml:space="preserve">/kWh, </w:t>
      </w:r>
      <w:proofErr w:type="spellStart"/>
      <w:r>
        <w:rPr>
          <w:rFonts w:eastAsia="Calibri"/>
          <w:szCs w:val="24"/>
          <w:lang w:val="en-US"/>
        </w:rPr>
        <w:t>iš</w:t>
      </w:r>
      <w:proofErr w:type="spellEnd"/>
      <w:r>
        <w:rPr>
          <w:rFonts w:eastAsia="Calibri"/>
          <w:szCs w:val="24"/>
          <w:lang w:val="en-US"/>
        </w:rPr>
        <w:t xml:space="preserve"> to </w:t>
      </w:r>
      <w:proofErr w:type="spellStart"/>
      <w:r>
        <w:rPr>
          <w:rFonts w:eastAsia="Calibri"/>
          <w:szCs w:val="24"/>
          <w:lang w:val="en-US"/>
        </w:rPr>
        <w:t>skaičiaus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šilumos</w:t>
      </w:r>
      <w:proofErr w:type="spellEnd"/>
      <w:r>
        <w:rPr>
          <w:rFonts w:eastAsia="Calibri"/>
          <w:szCs w:val="24"/>
          <w:lang w:val="en-US"/>
        </w:rPr>
        <w:t xml:space="preserve"> (</w:t>
      </w:r>
      <w:proofErr w:type="spellStart"/>
      <w:r>
        <w:rPr>
          <w:rFonts w:eastAsia="Calibri"/>
          <w:szCs w:val="24"/>
          <w:lang w:val="en-US"/>
        </w:rPr>
        <w:t>produkto</w:t>
      </w:r>
      <w:proofErr w:type="spellEnd"/>
      <w:r>
        <w:rPr>
          <w:rFonts w:eastAsia="Calibri"/>
          <w:szCs w:val="24"/>
          <w:lang w:val="en-US"/>
        </w:rPr>
        <w:t xml:space="preserve">) </w:t>
      </w:r>
      <w:r>
        <w:rPr>
          <w:rFonts w:eastAsia="Calibri"/>
          <w:szCs w:val="24"/>
        </w:rPr>
        <w:t>gamybos</w: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vienanarę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kainą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už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rezervinės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galios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užtikrinimo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paslaugą</w:t>
      </w:r>
      <w:proofErr w:type="spellEnd"/>
      <w:r>
        <w:rPr>
          <w:rFonts w:eastAsia="Calibri"/>
          <w:szCs w:val="24"/>
          <w:lang w:val="en-US"/>
        </w:rPr>
        <w:t xml:space="preserve"> – 0,58 </w:t>
      </w:r>
      <w:proofErr w:type="spellStart"/>
      <w:r>
        <w:rPr>
          <w:rFonts w:eastAsia="Calibri"/>
          <w:szCs w:val="24"/>
          <w:lang w:val="en-US"/>
        </w:rPr>
        <w:t>ct</w:t>
      </w:r>
      <w:proofErr w:type="spellEnd"/>
      <w:r>
        <w:rPr>
          <w:rFonts w:eastAsia="Calibri"/>
          <w:szCs w:val="24"/>
          <w:lang w:val="en-US"/>
        </w:rPr>
        <w:t>/kWh</w:t>
      </w:r>
      <w:r>
        <w:rPr>
          <w:rFonts w:eastAsia="Calibri"/>
          <w:szCs w:val="24"/>
        </w:rPr>
        <w:t>;</w:t>
      </w:r>
    </w:p>
    <w:p w14:paraId="099FD0D0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1.1.1.2. vienanarės kainos kintamąją dedamąją – T</w:t>
      </w:r>
      <w:r>
        <w:rPr>
          <w:rFonts w:eastAsia="Calibri"/>
          <w:szCs w:val="24"/>
          <w:vertAlign w:val="subscript"/>
        </w:rPr>
        <w:t>HG,KD</w:t>
      </w:r>
      <w:r>
        <w:rPr>
          <w:rFonts w:eastAsia="Calibri"/>
          <w:szCs w:val="24"/>
        </w:rPr>
        <w:t>;</w:t>
      </w:r>
    </w:p>
    <w:p w14:paraId="531A81B2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1.2. šilumos (produkto) gamybos (įsigijimo) šilumos kainos dedamąsias:</w:t>
      </w:r>
    </w:p>
    <w:p w14:paraId="3AEE641A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1.2.1. vienanarės kainos, išreiškiamos formule 2,45 + T</w:t>
      </w:r>
      <w:r>
        <w:rPr>
          <w:rFonts w:eastAsia="Calibri"/>
          <w:szCs w:val="24"/>
          <w:vertAlign w:val="subscript"/>
        </w:rPr>
        <w:t>H,KD</w:t>
      </w:r>
      <w:r>
        <w:rPr>
          <w:rFonts w:eastAsia="Calibri"/>
          <w:szCs w:val="24"/>
        </w:rPr>
        <w:t>, dedamąsias:</w:t>
      </w:r>
    </w:p>
    <w:p w14:paraId="66831C80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56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1.2.1.1. vienanarės kainos pastoviąją dedamąją – 2,45 ct/kWh;</w:t>
      </w:r>
    </w:p>
    <w:p w14:paraId="4EE93949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567"/>
        <w:jc w:val="both"/>
        <w:rPr>
          <w:lang w:eastAsia="lt-LT"/>
        </w:rPr>
      </w:pPr>
      <w:r>
        <w:rPr>
          <w:lang w:eastAsia="lt-LT"/>
        </w:rPr>
        <w:t xml:space="preserve">1.2.1.2. vienanarės kainos kintamąją dedamąją – </w:t>
      </w:r>
      <w:r>
        <w:rPr>
          <w:szCs w:val="24"/>
          <w:lang w:eastAsia="lt-LT"/>
        </w:rPr>
        <w:t>T</w:t>
      </w:r>
      <w:r>
        <w:rPr>
          <w:szCs w:val="24"/>
          <w:vertAlign w:val="subscript"/>
          <w:lang w:eastAsia="lt-LT"/>
        </w:rPr>
        <w:t>H,KD</w:t>
      </w:r>
      <w:r>
        <w:rPr>
          <w:lang w:eastAsia="lt-LT"/>
        </w:rPr>
        <w:t>;</w:t>
      </w:r>
    </w:p>
    <w:p w14:paraId="644776BD" w14:textId="77777777" w:rsidR="00E51587" w:rsidRDefault="007122BF">
      <w:pPr>
        <w:tabs>
          <w:tab w:val="left" w:pos="0"/>
          <w:tab w:val="left" w:pos="90"/>
          <w:tab w:val="left" w:pos="990"/>
          <w:tab w:val="left" w:pos="1260"/>
          <w:tab w:val="left" w:pos="153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1.2.2. dvinarės kainos dedamąsias:</w:t>
      </w:r>
    </w:p>
    <w:p w14:paraId="24A32CF8" w14:textId="77777777" w:rsidR="00E51587" w:rsidRDefault="007122BF">
      <w:pPr>
        <w:tabs>
          <w:tab w:val="left" w:pos="0"/>
          <w:tab w:val="left" w:pos="709"/>
          <w:tab w:val="left" w:pos="1260"/>
          <w:tab w:val="left" w:pos="1440"/>
          <w:tab w:val="left" w:pos="1710"/>
        </w:tabs>
        <w:ind w:firstLine="567"/>
        <w:jc w:val="both"/>
        <w:rPr>
          <w:lang w:eastAsia="lt-LT"/>
        </w:rPr>
      </w:pPr>
      <w:r>
        <w:rPr>
          <w:lang w:eastAsia="lt-LT"/>
        </w:rPr>
        <w:t xml:space="preserve">1.2.2.1. dvinarės kainos pastoviąją dalį (mėnesio užmokestį) – 17,92 </w:t>
      </w:r>
      <w:proofErr w:type="spellStart"/>
      <w:r>
        <w:rPr>
          <w:lang w:eastAsia="lt-LT"/>
        </w:rPr>
        <w:t>Eur</w:t>
      </w:r>
      <w:proofErr w:type="spellEnd"/>
      <w:r>
        <w:rPr>
          <w:lang w:eastAsia="lt-LT"/>
        </w:rPr>
        <w:t>/mėn./kW;</w:t>
      </w:r>
    </w:p>
    <w:p w14:paraId="2300E6AF" w14:textId="77777777" w:rsidR="00E51587" w:rsidRDefault="007122BF">
      <w:pPr>
        <w:tabs>
          <w:tab w:val="left" w:pos="0"/>
          <w:tab w:val="left" w:pos="709"/>
          <w:tab w:val="left" w:pos="1260"/>
          <w:tab w:val="left" w:pos="1440"/>
          <w:tab w:val="left" w:pos="1710"/>
        </w:tabs>
        <w:ind w:firstLine="567"/>
        <w:jc w:val="both"/>
        <w:rPr>
          <w:lang w:eastAsia="lt-LT"/>
        </w:rPr>
      </w:pPr>
      <w:r>
        <w:rPr>
          <w:lang w:eastAsia="lt-LT"/>
        </w:rPr>
        <w:t xml:space="preserve">1.2.2.2. dvinarės kainos pastoviąją dalį (mėnesio užmokestį) – 20,77 </w:t>
      </w:r>
      <w:proofErr w:type="spellStart"/>
      <w:r>
        <w:rPr>
          <w:lang w:eastAsia="lt-LT"/>
        </w:rPr>
        <w:t>Eur</w:t>
      </w:r>
      <w:proofErr w:type="spellEnd"/>
      <w:r>
        <w:rPr>
          <w:lang w:eastAsia="lt-LT"/>
        </w:rPr>
        <w:t>/mėn.;</w:t>
      </w:r>
    </w:p>
    <w:p w14:paraId="749E9113" w14:textId="77777777" w:rsidR="00E51587" w:rsidRDefault="007122BF">
      <w:pPr>
        <w:tabs>
          <w:tab w:val="left" w:pos="0"/>
          <w:tab w:val="left" w:pos="709"/>
          <w:tab w:val="left" w:pos="1260"/>
          <w:tab w:val="left" w:pos="1440"/>
          <w:tab w:val="left" w:pos="1710"/>
        </w:tabs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1.2.2.3. dvinarės kainos kintamąją dedamąją – </w:t>
      </w:r>
      <w:proofErr w:type="spellStart"/>
      <w:r>
        <w:rPr>
          <w:szCs w:val="24"/>
          <w:lang w:eastAsia="lt-LT"/>
        </w:rPr>
        <w:t>T</w:t>
      </w:r>
      <w:r>
        <w:rPr>
          <w:szCs w:val="24"/>
          <w:vertAlign w:val="subscript"/>
          <w:lang w:eastAsia="lt-LT"/>
        </w:rPr>
        <w:t>H,KD,dv</w:t>
      </w:r>
      <w:proofErr w:type="spellEnd"/>
      <w:r>
        <w:rPr>
          <w:szCs w:val="24"/>
          <w:lang w:eastAsia="lt-LT"/>
        </w:rPr>
        <w:t>;</w:t>
      </w:r>
    </w:p>
    <w:p w14:paraId="02308D60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1.3. šilumos perdavimo kainas:</w:t>
      </w:r>
    </w:p>
    <w:p w14:paraId="1BAC5EF0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1.3.1. vienanarės kainos, išreiškiamos formule 1,27 + T</w:t>
      </w:r>
      <w:r>
        <w:rPr>
          <w:rFonts w:eastAsia="Calibri"/>
          <w:szCs w:val="24"/>
          <w:vertAlign w:val="subscript"/>
        </w:rPr>
        <w:t xml:space="preserve">HT,KD </w:t>
      </w:r>
      <w:r>
        <w:rPr>
          <w:rFonts w:eastAsia="Calibri"/>
          <w:szCs w:val="24"/>
        </w:rPr>
        <w:t>, dedamąsias:</w:t>
      </w:r>
    </w:p>
    <w:p w14:paraId="3EC2E678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56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1.3.1.1. vienanarės kainos pastoviąją dedamąją – </w:t>
      </w:r>
      <w:r>
        <w:rPr>
          <w:rFonts w:eastAsia="Calibri"/>
          <w:szCs w:val="24"/>
          <w:lang w:val="en-US"/>
        </w:rPr>
        <w:t xml:space="preserve">1,27 </w:t>
      </w:r>
      <w:proofErr w:type="spellStart"/>
      <w:r>
        <w:rPr>
          <w:rFonts w:eastAsia="Calibri"/>
          <w:szCs w:val="24"/>
          <w:lang w:val="en-US"/>
        </w:rPr>
        <w:t>ct</w:t>
      </w:r>
      <w:proofErr w:type="spellEnd"/>
      <w:r>
        <w:rPr>
          <w:rFonts w:eastAsia="Calibri"/>
          <w:szCs w:val="24"/>
          <w:lang w:val="en-US"/>
        </w:rPr>
        <w:t>/kWh</w:t>
      </w:r>
      <w:r>
        <w:rPr>
          <w:rFonts w:eastAsia="Calibri"/>
          <w:szCs w:val="24"/>
        </w:rPr>
        <w:t>;</w:t>
      </w:r>
    </w:p>
    <w:p w14:paraId="56106CCC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1.3.1.2. vienanarės kainos kintamąją dedamąją – T</w:t>
      </w:r>
      <w:r>
        <w:rPr>
          <w:rFonts w:eastAsia="Calibri"/>
          <w:szCs w:val="24"/>
          <w:vertAlign w:val="subscript"/>
        </w:rPr>
        <w:t>HT,KD</w:t>
      </w:r>
      <w:r>
        <w:rPr>
          <w:rFonts w:eastAsia="Calibri"/>
          <w:szCs w:val="24"/>
        </w:rPr>
        <w:t>;</w:t>
      </w:r>
    </w:p>
    <w:p w14:paraId="4F2ABAD4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1.3.2. dvinarės kainos dedamąsias:</w:t>
      </w:r>
    </w:p>
    <w:p w14:paraId="354E465C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56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1.3.2.1. dvinarės kainos pastoviąją dalį (mėnesio užmokestį) – </w:t>
      </w:r>
      <w:r>
        <w:rPr>
          <w:rFonts w:eastAsia="Calibri"/>
          <w:szCs w:val="24"/>
          <w:lang w:val="en-US"/>
        </w:rPr>
        <w:t xml:space="preserve">9,29 </w:t>
      </w:r>
      <w:proofErr w:type="spellStart"/>
      <w:r>
        <w:rPr>
          <w:rFonts w:eastAsia="Calibri"/>
          <w:szCs w:val="24"/>
          <w:lang w:val="en-US"/>
        </w:rPr>
        <w:t>Eur</w:t>
      </w:r>
      <w:proofErr w:type="spellEnd"/>
      <w:r>
        <w:rPr>
          <w:rFonts w:eastAsia="Calibri"/>
          <w:szCs w:val="24"/>
          <w:lang w:val="en-US"/>
        </w:rPr>
        <w:t>/</w:t>
      </w:r>
      <w:proofErr w:type="spellStart"/>
      <w:r>
        <w:rPr>
          <w:rFonts w:eastAsia="Calibri"/>
          <w:szCs w:val="24"/>
          <w:lang w:val="en-US"/>
        </w:rPr>
        <w:t>mėn</w:t>
      </w:r>
      <w:proofErr w:type="spellEnd"/>
      <w:r>
        <w:rPr>
          <w:rFonts w:eastAsia="Calibri"/>
          <w:szCs w:val="24"/>
          <w:lang w:val="en-US"/>
        </w:rPr>
        <w:t>./</w:t>
      </w:r>
      <w:proofErr w:type="gramStart"/>
      <w:r>
        <w:rPr>
          <w:rFonts w:eastAsia="Calibri"/>
          <w:szCs w:val="24"/>
          <w:lang w:val="en-US"/>
        </w:rPr>
        <w:t>kW</w:t>
      </w:r>
      <w:proofErr w:type="gramEnd"/>
      <w:r>
        <w:rPr>
          <w:rFonts w:eastAsia="Calibri"/>
          <w:szCs w:val="24"/>
        </w:rPr>
        <w:t>;</w:t>
      </w:r>
    </w:p>
    <w:p w14:paraId="16EE0E1E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56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1.3.2.2. dvinarės kainos pastoviąją dalį (mėnesio užmokestį) – 8,86</w: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Eur</w:t>
      </w:r>
      <w:proofErr w:type="spellEnd"/>
      <w:r>
        <w:rPr>
          <w:rFonts w:eastAsia="Calibri"/>
          <w:szCs w:val="24"/>
          <w:lang w:val="en-US"/>
        </w:rPr>
        <w:t>/</w:t>
      </w:r>
      <w:proofErr w:type="spellStart"/>
      <w:r>
        <w:rPr>
          <w:rFonts w:eastAsia="Calibri"/>
          <w:szCs w:val="24"/>
          <w:lang w:val="en-US"/>
        </w:rPr>
        <w:t>mėn</w:t>
      </w:r>
      <w:proofErr w:type="spellEnd"/>
      <w:r>
        <w:rPr>
          <w:rFonts w:eastAsia="Calibri"/>
          <w:szCs w:val="24"/>
          <w:lang w:val="en-US"/>
        </w:rPr>
        <w:t>.;</w:t>
      </w:r>
    </w:p>
    <w:p w14:paraId="45A04E71" w14:textId="77777777" w:rsidR="00E51587" w:rsidRDefault="007122BF">
      <w:pPr>
        <w:tabs>
          <w:tab w:val="left" w:pos="0"/>
          <w:tab w:val="left" w:pos="990"/>
          <w:tab w:val="left" w:pos="1260"/>
          <w:tab w:val="left" w:pos="1440"/>
          <w:tab w:val="left" w:pos="1710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 xml:space="preserve">1.3.2.3. dvinarės kainos kintamąją dalį – </w:t>
      </w:r>
      <w:proofErr w:type="spellStart"/>
      <w:r>
        <w:rPr>
          <w:rFonts w:eastAsia="Calibri"/>
          <w:szCs w:val="24"/>
        </w:rPr>
        <w:t>T</w:t>
      </w:r>
      <w:r>
        <w:rPr>
          <w:rFonts w:eastAsia="Calibri"/>
          <w:szCs w:val="24"/>
          <w:vertAlign w:val="subscript"/>
        </w:rPr>
        <w:t>HT,KD,dv</w:t>
      </w:r>
      <w:proofErr w:type="spellEnd"/>
      <w:r>
        <w:rPr>
          <w:rFonts w:eastAsia="Calibri"/>
          <w:szCs w:val="24"/>
        </w:rPr>
        <w:t>;</w:t>
      </w:r>
    </w:p>
    <w:p w14:paraId="31EE3213" w14:textId="77777777" w:rsidR="00E51587" w:rsidRDefault="007122BF">
      <w:pPr>
        <w:tabs>
          <w:tab w:val="left" w:pos="990"/>
          <w:tab w:val="left" w:pos="1260"/>
          <w:tab w:val="left" w:pos="1440"/>
          <w:tab w:val="left" w:pos="1710"/>
        </w:tabs>
        <w:ind w:firstLine="567"/>
        <w:jc w:val="both"/>
        <w:rPr>
          <w:lang w:eastAsia="lt-LT"/>
        </w:rPr>
      </w:pPr>
      <w:r>
        <w:rPr>
          <w:lang w:eastAsia="lt-LT"/>
        </w:rPr>
        <w:t xml:space="preserve">1.4. </w:t>
      </w:r>
      <w:r>
        <w:rPr>
          <w:szCs w:val="24"/>
          <w:lang w:eastAsia="lt-LT"/>
        </w:rPr>
        <w:t xml:space="preserve">mažmeninio aptarnavimo vartotojams kainą </w:t>
      </w:r>
      <w:r>
        <w:rPr>
          <w:lang w:eastAsia="lt-LT"/>
        </w:rPr>
        <w:t xml:space="preserve">pasirinktinai: jei vartotojas pasirinko mokėti už kiekvieną realizuotiną šilumos kilovatvalandę </w:t>
      </w:r>
      <w:r>
        <w:rPr>
          <w:szCs w:val="24"/>
          <w:lang w:eastAsia="lt-LT"/>
        </w:rPr>
        <w:t>–</w:t>
      </w:r>
      <w:r>
        <w:rPr>
          <w:lang w:eastAsia="lt-LT"/>
        </w:rPr>
        <w:t xml:space="preserve"> 0,16 ct/kWh, jei vartotojas pasirinko mokėti kaip pastovų (mėnesio) užmokestį </w:t>
      </w:r>
      <w:r>
        <w:rPr>
          <w:szCs w:val="24"/>
          <w:lang w:eastAsia="lt-LT"/>
        </w:rPr>
        <w:t xml:space="preserve">– mažmeninio aptarnavimo bazinis pastovus (mėnesio) užmokestis </w:t>
      </w:r>
      <w:r>
        <w:rPr>
          <w:szCs w:val="24"/>
          <w:lang w:eastAsia="lt-LT"/>
        </w:rPr>
        <w:br/>
      </w:r>
      <w:r>
        <w:rPr>
          <w:lang w:eastAsia="lt-LT"/>
        </w:rPr>
        <w:t xml:space="preserve">1,13 </w:t>
      </w:r>
      <w:proofErr w:type="spellStart"/>
      <w:r>
        <w:rPr>
          <w:lang w:eastAsia="lt-LT"/>
        </w:rPr>
        <w:t>Eur</w:t>
      </w:r>
      <w:proofErr w:type="spellEnd"/>
      <w:r>
        <w:rPr>
          <w:lang w:eastAsia="lt-LT"/>
        </w:rPr>
        <w:t>/mėn./kW</w:t>
      </w:r>
      <w:r>
        <w:rPr>
          <w:szCs w:val="24"/>
          <w:lang w:eastAsia="lt-LT"/>
        </w:rPr>
        <w:t xml:space="preserve"> arba mažmeninio aptarnavimo bazinis pastovus (mėnesio) užmokestis </w:t>
      </w:r>
      <w:r>
        <w:rPr>
          <w:szCs w:val="24"/>
          <w:lang w:eastAsia="lt-LT"/>
        </w:rPr>
        <w:br/>
      </w:r>
      <w:r>
        <w:rPr>
          <w:lang w:eastAsia="lt-LT"/>
        </w:rPr>
        <w:t xml:space="preserve">1,08 </w:t>
      </w:r>
      <w:proofErr w:type="spellStart"/>
      <w:r>
        <w:rPr>
          <w:lang w:eastAsia="lt-LT"/>
        </w:rPr>
        <w:t>Eur</w:t>
      </w:r>
      <w:proofErr w:type="spellEnd"/>
      <w:r>
        <w:rPr>
          <w:lang w:eastAsia="lt-LT"/>
        </w:rPr>
        <w:t>/mėn.</w:t>
      </w:r>
    </w:p>
    <w:p w14:paraId="1A03C165" w14:textId="77777777" w:rsidR="00E51587" w:rsidRDefault="007122BF">
      <w:pPr>
        <w:ind w:firstLine="567"/>
        <w:jc w:val="both"/>
        <w:rPr>
          <w:lang w:eastAsia="lt-LT"/>
        </w:rPr>
      </w:pPr>
      <w:r>
        <w:rPr>
          <w:lang w:eastAsia="lt-LT"/>
        </w:rPr>
        <w:t xml:space="preserve">2. Nustatyti dedamųjų </w:t>
      </w:r>
      <w:r>
        <w:rPr>
          <w:szCs w:val="24"/>
          <w:lang w:eastAsia="lt-LT"/>
        </w:rPr>
        <w:t>T</w:t>
      </w:r>
      <w:r>
        <w:rPr>
          <w:szCs w:val="24"/>
          <w:vertAlign w:val="subscript"/>
          <w:lang w:eastAsia="lt-LT"/>
        </w:rPr>
        <w:t>HG,KD</w:t>
      </w:r>
      <w:r>
        <w:rPr>
          <w:szCs w:val="24"/>
          <w:lang w:eastAsia="lt-LT"/>
        </w:rPr>
        <w:t>, T</w:t>
      </w:r>
      <w:r>
        <w:rPr>
          <w:szCs w:val="24"/>
          <w:vertAlign w:val="subscript"/>
          <w:lang w:eastAsia="lt-LT"/>
        </w:rPr>
        <w:t>H,KD</w:t>
      </w:r>
      <w:r>
        <w:rPr>
          <w:szCs w:val="24"/>
          <w:lang w:eastAsia="lt-LT"/>
        </w:rPr>
        <w:t>,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T</w:t>
      </w:r>
      <w:r>
        <w:rPr>
          <w:rFonts w:eastAsia="Calibri"/>
          <w:szCs w:val="24"/>
          <w:vertAlign w:val="subscript"/>
        </w:rPr>
        <w:t>H,KD,dv</w:t>
      </w:r>
      <w:proofErr w:type="spellEnd"/>
      <w:r>
        <w:rPr>
          <w:szCs w:val="24"/>
          <w:lang w:eastAsia="lt-LT"/>
        </w:rPr>
        <w:t>, T</w:t>
      </w:r>
      <w:r>
        <w:rPr>
          <w:szCs w:val="24"/>
          <w:vertAlign w:val="subscript"/>
          <w:lang w:eastAsia="lt-LT"/>
        </w:rPr>
        <w:t>HT,KD</w:t>
      </w:r>
      <w:r>
        <w:rPr>
          <w:szCs w:val="24"/>
          <w:lang w:eastAsia="lt-LT"/>
        </w:rPr>
        <w:t>,</w:t>
      </w:r>
      <w:r>
        <w:rPr>
          <w:szCs w:val="24"/>
          <w:vertAlign w:val="subscript"/>
          <w:lang w:eastAsia="lt-LT"/>
        </w:rPr>
        <w:t xml:space="preserve"> </w:t>
      </w:r>
      <w:proofErr w:type="spellStart"/>
      <w:r>
        <w:rPr>
          <w:rFonts w:eastAsia="Calibri"/>
          <w:szCs w:val="24"/>
        </w:rPr>
        <w:t>T</w:t>
      </w:r>
      <w:r>
        <w:rPr>
          <w:rFonts w:eastAsia="Calibri"/>
          <w:szCs w:val="24"/>
          <w:vertAlign w:val="subscript"/>
        </w:rPr>
        <w:t>HT,KD,dv</w:t>
      </w:r>
      <w:proofErr w:type="spellEnd"/>
      <w:r>
        <w:rPr>
          <w:szCs w:val="24"/>
          <w:lang w:eastAsia="lt-LT"/>
        </w:rPr>
        <w:t>, T</w:t>
      </w:r>
      <w:r>
        <w:rPr>
          <w:szCs w:val="24"/>
          <w:vertAlign w:val="subscript"/>
          <w:lang w:eastAsia="lt-LT"/>
        </w:rPr>
        <w:t xml:space="preserve">H </w:t>
      </w:r>
      <w:r>
        <w:rPr>
          <w:lang w:eastAsia="lt-LT"/>
        </w:rPr>
        <w:t>formules: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058"/>
        <w:gridCol w:w="5217"/>
      </w:tblGrid>
      <w:tr w:rsidR="00E51587" w14:paraId="3EB8E622" w14:textId="77777777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05E7" w14:textId="77777777" w:rsidR="00E51587" w:rsidRDefault="007122BF">
            <w:pPr>
              <w:tabs>
                <w:tab w:val="left" w:pos="1134"/>
              </w:tabs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29F6" w14:textId="77777777" w:rsidR="00E51587" w:rsidRDefault="007122BF">
            <w:pPr>
              <w:tabs>
                <w:tab w:val="left" w:pos="1134"/>
              </w:tabs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Dedamoji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A14E" w14:textId="77777777" w:rsidR="00E51587" w:rsidRDefault="007122BF">
            <w:pPr>
              <w:tabs>
                <w:tab w:val="left" w:pos="1134"/>
              </w:tabs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Formulė</w:t>
            </w:r>
          </w:p>
        </w:tc>
      </w:tr>
      <w:tr w:rsidR="00E51587" w14:paraId="78688CFA" w14:textId="77777777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740D" w14:textId="77777777" w:rsidR="00E51587" w:rsidRDefault="007122BF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09E2" w14:textId="77777777" w:rsidR="00E51587" w:rsidRDefault="007122BF">
            <w:pPr>
              <w:tabs>
                <w:tab w:val="left" w:pos="1134"/>
              </w:tabs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Šilumos (produkto) gamybos vienanarės kainos dedamoji ir šilumos (produkto) gamybos (įsigijimo) vienanarės kainos ir dvinarės kainos kintamoji dedamoji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2A45" w14:textId="77777777" w:rsidR="00E51587" w:rsidRDefault="007122BF">
            <w:pPr>
              <w:tabs>
                <w:tab w:val="left" w:pos="1134"/>
              </w:tabs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</w:t>
            </w:r>
            <w:r>
              <w:rPr>
                <w:sz w:val="22"/>
                <w:szCs w:val="22"/>
                <w:vertAlign w:val="subscript"/>
                <w:lang w:eastAsia="lt-LT"/>
              </w:rPr>
              <w:t>HG,KD</w:t>
            </w:r>
            <w:r>
              <w:rPr>
                <w:sz w:val="22"/>
                <w:szCs w:val="22"/>
                <w:lang w:eastAsia="lt-LT"/>
              </w:rPr>
              <w:t xml:space="preserve"> = T</w:t>
            </w:r>
            <w:r>
              <w:rPr>
                <w:sz w:val="22"/>
                <w:szCs w:val="22"/>
                <w:vertAlign w:val="subscript"/>
                <w:lang w:eastAsia="lt-LT"/>
              </w:rPr>
              <w:t>H,KD</w:t>
            </w:r>
            <w:r>
              <w:rPr>
                <w:sz w:val="22"/>
                <w:szCs w:val="22"/>
                <w:lang w:eastAsia="lt-LT"/>
              </w:rPr>
              <w:t xml:space="preserve"> = </w:t>
            </w:r>
            <w:proofErr w:type="spellStart"/>
            <w:r>
              <w:rPr>
                <w:rFonts w:eastAsia="Calibri"/>
                <w:sz w:val="22"/>
                <w:szCs w:val="22"/>
              </w:rPr>
              <w:t>T</w:t>
            </w:r>
            <w:r>
              <w:rPr>
                <w:rFonts w:eastAsia="Calibri"/>
                <w:sz w:val="22"/>
                <w:szCs w:val="22"/>
                <w:vertAlign w:val="subscript"/>
              </w:rPr>
              <w:t>H,KD,dv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= 0,26 + ((1 714 × </w:t>
            </w:r>
            <w:proofErr w:type="spellStart"/>
            <w:r>
              <w:rPr>
                <w:sz w:val="22"/>
                <w:szCs w:val="22"/>
                <w:lang w:eastAsia="lt-LT"/>
              </w:rPr>
              <w:t>p</w:t>
            </w:r>
            <w:r>
              <w:rPr>
                <w:sz w:val="22"/>
                <w:szCs w:val="22"/>
                <w:vertAlign w:val="subscript"/>
                <w:lang w:eastAsia="lt-LT"/>
              </w:rPr>
              <w:t>HG</w:t>
            </w:r>
            <w:proofErr w:type="spellEnd"/>
            <w:r>
              <w:rPr>
                <w:sz w:val="22"/>
                <w:szCs w:val="22"/>
                <w:vertAlign w:val="subscript"/>
                <w:lang w:eastAsia="lt-LT"/>
              </w:rPr>
              <w:t>, d</w:t>
            </w:r>
            <w:r>
              <w:rPr>
                <w:sz w:val="22"/>
                <w:szCs w:val="22"/>
                <w:lang w:eastAsia="lt-LT"/>
              </w:rPr>
              <w:t xml:space="preserve">) + (3 111,8 × </w:t>
            </w:r>
            <w:proofErr w:type="spellStart"/>
            <w:r>
              <w:rPr>
                <w:sz w:val="22"/>
                <w:szCs w:val="22"/>
                <w:lang w:eastAsia="lt-LT"/>
              </w:rPr>
              <w:t>p</w:t>
            </w:r>
            <w:r>
              <w:rPr>
                <w:sz w:val="22"/>
                <w:szCs w:val="22"/>
                <w:vertAlign w:val="subscript"/>
                <w:lang w:eastAsia="lt-LT"/>
              </w:rPr>
              <w:t>HG</w:t>
            </w:r>
            <w:proofErr w:type="spellEnd"/>
            <w:r>
              <w:rPr>
                <w:sz w:val="22"/>
                <w:szCs w:val="22"/>
                <w:vertAlign w:val="subscript"/>
                <w:lang w:eastAsia="lt-LT"/>
              </w:rPr>
              <w:t>, b</w:t>
            </w:r>
            <w:r>
              <w:rPr>
                <w:sz w:val="22"/>
                <w:szCs w:val="22"/>
                <w:lang w:eastAsia="lt-LT"/>
              </w:rPr>
              <w:t xml:space="preserve">) </w:t>
            </w:r>
            <w:r>
              <w:rPr>
                <w:sz w:val="22"/>
                <w:szCs w:val="22"/>
                <w:lang w:val="en-US" w:eastAsia="lt-LT"/>
              </w:rPr>
              <w:t>+ (295,1</w:t>
            </w:r>
            <w:r>
              <w:rPr>
                <w:sz w:val="22"/>
                <w:szCs w:val="22"/>
                <w:lang w:eastAsia="lt-LT"/>
              </w:rPr>
              <w:t xml:space="preserve"> × </w:t>
            </w:r>
            <w:proofErr w:type="spellStart"/>
            <w:r>
              <w:rPr>
                <w:sz w:val="22"/>
                <w:szCs w:val="22"/>
                <w:lang w:eastAsia="lt-LT"/>
              </w:rPr>
              <w:t>p</w:t>
            </w:r>
            <w:r>
              <w:rPr>
                <w:sz w:val="22"/>
                <w:szCs w:val="22"/>
                <w:vertAlign w:val="subscript"/>
                <w:lang w:eastAsia="lt-LT"/>
              </w:rPr>
              <w:t>HG</w:t>
            </w:r>
            <w:proofErr w:type="spellEnd"/>
            <w:r>
              <w:rPr>
                <w:sz w:val="22"/>
                <w:szCs w:val="22"/>
                <w:vertAlign w:val="subscript"/>
                <w:lang w:eastAsia="lt-LT"/>
              </w:rPr>
              <w:t xml:space="preserve">, </w:t>
            </w:r>
            <w:proofErr w:type="spellStart"/>
            <w:r>
              <w:rPr>
                <w:sz w:val="22"/>
                <w:szCs w:val="22"/>
                <w:vertAlign w:val="subscript"/>
                <w:lang w:eastAsia="lt-LT"/>
              </w:rPr>
              <w:t>ska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)+(117,2 × </w:t>
            </w:r>
            <w:proofErr w:type="spellStart"/>
            <w:r>
              <w:rPr>
                <w:rFonts w:eastAsia="Calibri"/>
                <w:sz w:val="22"/>
                <w:szCs w:val="22"/>
                <w:lang w:val="en-US"/>
              </w:rPr>
              <w:t>p</w:t>
            </w:r>
            <w:r>
              <w:rPr>
                <w:rFonts w:eastAsia="Calibri"/>
                <w:sz w:val="22"/>
                <w:szCs w:val="22"/>
                <w:vertAlign w:val="subscript"/>
                <w:lang w:val="en-US"/>
              </w:rPr>
              <w:t>HG</w:t>
            </w:r>
            <w:proofErr w:type="spellEnd"/>
            <w:r>
              <w:rPr>
                <w:rFonts w:eastAsia="Calibri"/>
                <w:sz w:val="22"/>
                <w:szCs w:val="22"/>
                <w:vertAlign w:val="subscript"/>
                <w:lang w:val="en-US"/>
              </w:rPr>
              <w:t>,</w:t>
            </w:r>
            <w:r>
              <w:rPr>
                <w:rFonts w:eastAsia="Calibri"/>
                <w:sz w:val="22"/>
                <w:szCs w:val="22"/>
                <w:vertAlign w:val="subscript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vertAlign w:val="subscript"/>
              </w:rPr>
              <w:t>dyz</w:t>
            </w:r>
            <w:proofErr w:type="spellEnd"/>
            <w:r>
              <w:rPr>
                <w:sz w:val="22"/>
                <w:szCs w:val="22"/>
                <w:lang w:eastAsia="lt-LT"/>
              </w:rPr>
              <w:t>)) / (39 881 752 / 100)</w:t>
            </w:r>
          </w:p>
        </w:tc>
      </w:tr>
      <w:tr w:rsidR="00E51587" w14:paraId="790CF49B" w14:textId="77777777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5305" w14:textId="77777777" w:rsidR="00E51587" w:rsidRDefault="007122BF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DEEE" w14:textId="77777777" w:rsidR="00E51587" w:rsidRDefault="007122BF">
            <w:pPr>
              <w:tabs>
                <w:tab w:val="left" w:pos="1134"/>
              </w:tabs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Šilumos perdavimo vienanarės kainos ir dvinarės kainos kintamoji dedamoji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0A75" w14:textId="77777777" w:rsidR="00E51587" w:rsidRDefault="007122BF">
            <w:pPr>
              <w:tabs>
                <w:tab w:val="left" w:pos="1134"/>
              </w:tabs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</w:t>
            </w:r>
            <w:r>
              <w:rPr>
                <w:sz w:val="22"/>
                <w:szCs w:val="22"/>
                <w:vertAlign w:val="subscript"/>
                <w:lang w:eastAsia="lt-LT"/>
              </w:rPr>
              <w:t>HT,KD</w:t>
            </w:r>
            <w:r>
              <w:rPr>
                <w:sz w:val="22"/>
                <w:szCs w:val="22"/>
                <w:lang w:eastAsia="lt-LT"/>
              </w:rPr>
              <w:t>=</w:t>
            </w:r>
            <w:proofErr w:type="spellStart"/>
            <w:r>
              <w:rPr>
                <w:rFonts w:eastAsia="Calibri"/>
                <w:sz w:val="22"/>
                <w:szCs w:val="22"/>
              </w:rPr>
              <w:t>T</w:t>
            </w:r>
            <w:r>
              <w:rPr>
                <w:rFonts w:eastAsia="Calibri"/>
                <w:sz w:val="22"/>
                <w:szCs w:val="22"/>
                <w:vertAlign w:val="subscript"/>
              </w:rPr>
              <w:t>HT,KD,dv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= 0,05 + (7 049 955 × T</w:t>
            </w:r>
            <w:r>
              <w:rPr>
                <w:sz w:val="22"/>
                <w:szCs w:val="22"/>
                <w:vertAlign w:val="subscript"/>
                <w:lang w:eastAsia="lt-LT"/>
              </w:rPr>
              <w:t>H</w:t>
            </w:r>
            <w:r>
              <w:rPr>
                <w:sz w:val="22"/>
                <w:szCs w:val="22"/>
                <w:lang w:eastAsia="lt-LT"/>
              </w:rPr>
              <w:t xml:space="preserve"> ) / 32 831 797</w:t>
            </w:r>
          </w:p>
        </w:tc>
      </w:tr>
      <w:tr w:rsidR="00E51587" w14:paraId="37C3A298" w14:textId="77777777">
        <w:trPr>
          <w:trHeight w:val="31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D0CE" w14:textId="77777777" w:rsidR="00E51587" w:rsidRDefault="007122BF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10ED" w14:textId="77777777" w:rsidR="00E51587" w:rsidRDefault="007122BF">
            <w:pPr>
              <w:tabs>
                <w:tab w:val="left" w:pos="1134"/>
              </w:tabs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Šilumos (produkto) gamybos (įsigijimo) kaina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46BD" w14:textId="77777777" w:rsidR="00E51587" w:rsidRDefault="007122BF">
            <w:pPr>
              <w:tabs>
                <w:tab w:val="left" w:pos="1134"/>
              </w:tabs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</w:t>
            </w:r>
            <w:r>
              <w:rPr>
                <w:sz w:val="22"/>
                <w:szCs w:val="22"/>
                <w:vertAlign w:val="subscript"/>
                <w:lang w:eastAsia="lt-LT"/>
              </w:rPr>
              <w:t>H</w:t>
            </w:r>
            <w:r>
              <w:rPr>
                <w:sz w:val="22"/>
                <w:szCs w:val="22"/>
                <w:lang w:eastAsia="lt-LT"/>
              </w:rPr>
              <w:t xml:space="preserve"> = 2,45 + T</w:t>
            </w:r>
            <w:r>
              <w:rPr>
                <w:sz w:val="22"/>
                <w:szCs w:val="22"/>
                <w:vertAlign w:val="subscript"/>
                <w:lang w:eastAsia="lt-LT"/>
              </w:rPr>
              <w:t>H,KD</w:t>
            </w:r>
          </w:p>
        </w:tc>
      </w:tr>
    </w:tbl>
    <w:p w14:paraId="67416434" w14:textId="77777777" w:rsidR="00E51587" w:rsidRDefault="007122BF">
      <w:pPr>
        <w:tabs>
          <w:tab w:val="left" w:pos="1134"/>
        </w:tabs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čia:</w:t>
      </w:r>
    </w:p>
    <w:p w14:paraId="52AE0791" w14:textId="77777777" w:rsidR="00E51587" w:rsidRDefault="007122BF">
      <w:pPr>
        <w:tabs>
          <w:tab w:val="left" w:pos="1134"/>
        </w:tabs>
        <w:jc w:val="both"/>
        <w:rPr>
          <w:rFonts w:eastAsia="Calibri"/>
          <w:sz w:val="20"/>
        </w:rPr>
      </w:pPr>
      <w:proofErr w:type="spellStart"/>
      <w:proofErr w:type="gramStart"/>
      <w:r>
        <w:rPr>
          <w:rFonts w:eastAsia="Calibri"/>
          <w:sz w:val="20"/>
          <w:lang w:val="en-US"/>
        </w:rPr>
        <w:t>p</w:t>
      </w:r>
      <w:r>
        <w:rPr>
          <w:rFonts w:eastAsia="Calibri"/>
          <w:sz w:val="20"/>
          <w:vertAlign w:val="subscript"/>
          <w:lang w:val="en-US"/>
        </w:rPr>
        <w:t>HG</w:t>
      </w:r>
      <w:proofErr w:type="spellEnd"/>
      <w:proofErr w:type="gramEnd"/>
      <w:r>
        <w:rPr>
          <w:rFonts w:eastAsia="Calibri"/>
          <w:sz w:val="20"/>
          <w:vertAlign w:val="subscript"/>
          <w:lang w:val="en-US"/>
        </w:rPr>
        <w:t>,</w:t>
      </w:r>
      <w:r>
        <w:rPr>
          <w:rFonts w:eastAsia="Calibri"/>
          <w:sz w:val="20"/>
          <w:vertAlign w:val="subscript"/>
        </w:rPr>
        <w:t xml:space="preserve"> d</w:t>
      </w:r>
      <w:r>
        <w:rPr>
          <w:rFonts w:eastAsia="Calibri"/>
          <w:sz w:val="20"/>
        </w:rPr>
        <w:t xml:space="preserve"> – gamtinių dujų kaina (</w:t>
      </w:r>
      <w:proofErr w:type="spellStart"/>
      <w:r>
        <w:rPr>
          <w:rFonts w:eastAsia="Calibri"/>
          <w:sz w:val="20"/>
        </w:rPr>
        <w:t>Eur</w:t>
      </w:r>
      <w:proofErr w:type="spellEnd"/>
      <w:r>
        <w:rPr>
          <w:rFonts w:eastAsia="Calibri"/>
          <w:sz w:val="20"/>
        </w:rPr>
        <w:t>/</w:t>
      </w:r>
      <w:proofErr w:type="spellStart"/>
      <w:r>
        <w:rPr>
          <w:rFonts w:eastAsia="Calibri"/>
          <w:sz w:val="20"/>
        </w:rPr>
        <w:t>MWh</w:t>
      </w:r>
      <w:proofErr w:type="spellEnd"/>
      <w:r>
        <w:rPr>
          <w:rFonts w:eastAsia="Calibri"/>
          <w:sz w:val="20"/>
        </w:rPr>
        <w:t>);</w:t>
      </w:r>
    </w:p>
    <w:p w14:paraId="796515FF" w14:textId="77777777" w:rsidR="00E51587" w:rsidRDefault="007122BF">
      <w:pPr>
        <w:tabs>
          <w:tab w:val="left" w:pos="1134"/>
        </w:tabs>
        <w:jc w:val="both"/>
        <w:rPr>
          <w:rFonts w:eastAsia="Calibri"/>
          <w:sz w:val="20"/>
        </w:rPr>
      </w:pPr>
      <w:proofErr w:type="spellStart"/>
      <w:proofErr w:type="gramStart"/>
      <w:r>
        <w:rPr>
          <w:rFonts w:eastAsia="Calibri"/>
          <w:sz w:val="20"/>
          <w:lang w:val="en-US"/>
        </w:rPr>
        <w:t>p</w:t>
      </w:r>
      <w:r>
        <w:rPr>
          <w:rFonts w:eastAsia="Calibri"/>
          <w:sz w:val="20"/>
          <w:vertAlign w:val="subscript"/>
          <w:lang w:val="en-US"/>
        </w:rPr>
        <w:t>HG</w:t>
      </w:r>
      <w:proofErr w:type="spellEnd"/>
      <w:proofErr w:type="gramEnd"/>
      <w:r>
        <w:rPr>
          <w:rFonts w:eastAsia="Calibri"/>
          <w:sz w:val="20"/>
          <w:vertAlign w:val="subscript"/>
          <w:lang w:val="en-US"/>
        </w:rPr>
        <w:t>,</w:t>
      </w:r>
      <w:r>
        <w:rPr>
          <w:rFonts w:eastAsia="Calibri"/>
          <w:sz w:val="20"/>
          <w:vertAlign w:val="subscript"/>
        </w:rPr>
        <w:t xml:space="preserve"> b  </w:t>
      </w:r>
      <w:r>
        <w:rPr>
          <w:rFonts w:eastAsia="Calibri"/>
          <w:sz w:val="20"/>
        </w:rPr>
        <w:t>– medienos kilmės biokuro kaina (</w:t>
      </w:r>
      <w:proofErr w:type="spellStart"/>
      <w:r>
        <w:rPr>
          <w:rFonts w:eastAsia="Calibri"/>
          <w:sz w:val="20"/>
        </w:rPr>
        <w:t>Eur</w:t>
      </w:r>
      <w:proofErr w:type="spellEnd"/>
      <w:r>
        <w:rPr>
          <w:rFonts w:eastAsia="Calibri"/>
          <w:sz w:val="20"/>
        </w:rPr>
        <w:t>/</w:t>
      </w:r>
      <w:proofErr w:type="spellStart"/>
      <w:r>
        <w:rPr>
          <w:rFonts w:eastAsia="Calibri"/>
          <w:sz w:val="20"/>
        </w:rPr>
        <w:t>t</w:t>
      </w:r>
      <w:r>
        <w:rPr>
          <w:rFonts w:eastAsia="Calibri"/>
          <w:sz w:val="20"/>
          <w:vertAlign w:val="subscript"/>
        </w:rPr>
        <w:t>ne</w:t>
      </w:r>
      <w:proofErr w:type="spellEnd"/>
      <w:r>
        <w:rPr>
          <w:rFonts w:eastAsia="Calibri"/>
          <w:sz w:val="20"/>
        </w:rPr>
        <w:t>);</w:t>
      </w:r>
    </w:p>
    <w:p w14:paraId="3609CD0D" w14:textId="77777777" w:rsidR="00E51587" w:rsidRDefault="007122BF">
      <w:pPr>
        <w:tabs>
          <w:tab w:val="left" w:pos="1134"/>
        </w:tabs>
        <w:jc w:val="both"/>
        <w:rPr>
          <w:rFonts w:eastAsia="Calibri"/>
          <w:sz w:val="20"/>
        </w:rPr>
      </w:pPr>
      <w:proofErr w:type="spellStart"/>
      <w:proofErr w:type="gramStart"/>
      <w:r>
        <w:rPr>
          <w:rFonts w:eastAsia="Calibri"/>
          <w:sz w:val="20"/>
          <w:lang w:val="en-US"/>
        </w:rPr>
        <w:t>p</w:t>
      </w:r>
      <w:r>
        <w:rPr>
          <w:rFonts w:eastAsia="Calibri"/>
          <w:sz w:val="20"/>
          <w:vertAlign w:val="subscript"/>
          <w:lang w:val="en-US"/>
        </w:rPr>
        <w:t>HG</w:t>
      </w:r>
      <w:proofErr w:type="spellEnd"/>
      <w:proofErr w:type="gramEnd"/>
      <w:r>
        <w:rPr>
          <w:rFonts w:eastAsia="Calibri"/>
          <w:sz w:val="20"/>
          <w:vertAlign w:val="subscript"/>
          <w:lang w:val="en-US"/>
        </w:rPr>
        <w:t>,</w:t>
      </w:r>
      <w:r>
        <w:rPr>
          <w:rFonts w:eastAsia="Calibri"/>
          <w:sz w:val="20"/>
          <w:vertAlign w:val="subscript"/>
        </w:rPr>
        <w:t xml:space="preserve"> </w:t>
      </w:r>
      <w:proofErr w:type="spellStart"/>
      <w:r>
        <w:rPr>
          <w:rFonts w:eastAsia="Calibri"/>
          <w:sz w:val="20"/>
          <w:vertAlign w:val="subscript"/>
        </w:rPr>
        <w:t>ska</w:t>
      </w:r>
      <w:proofErr w:type="spellEnd"/>
      <w:r>
        <w:rPr>
          <w:rFonts w:eastAsia="Calibri"/>
          <w:sz w:val="20"/>
          <w:vertAlign w:val="subscript"/>
        </w:rPr>
        <w:t xml:space="preserve">  </w:t>
      </w:r>
      <w:r>
        <w:rPr>
          <w:rFonts w:eastAsia="Calibri"/>
          <w:sz w:val="20"/>
        </w:rPr>
        <w:t>– skalūnų alyvos kaina (</w:t>
      </w:r>
      <w:proofErr w:type="spellStart"/>
      <w:r>
        <w:rPr>
          <w:rFonts w:eastAsia="Calibri"/>
          <w:sz w:val="20"/>
        </w:rPr>
        <w:t>Eur</w:t>
      </w:r>
      <w:proofErr w:type="spellEnd"/>
      <w:r>
        <w:rPr>
          <w:rFonts w:eastAsia="Calibri"/>
          <w:sz w:val="20"/>
        </w:rPr>
        <w:t>/</w:t>
      </w:r>
      <w:proofErr w:type="spellStart"/>
      <w:r>
        <w:rPr>
          <w:rFonts w:eastAsia="Calibri"/>
          <w:sz w:val="20"/>
        </w:rPr>
        <w:t>t</w:t>
      </w:r>
      <w:r>
        <w:rPr>
          <w:rFonts w:eastAsia="Calibri"/>
          <w:sz w:val="20"/>
          <w:vertAlign w:val="subscript"/>
        </w:rPr>
        <w:t>ne</w:t>
      </w:r>
      <w:proofErr w:type="spellEnd"/>
      <w:r>
        <w:rPr>
          <w:rFonts w:eastAsia="Calibri"/>
          <w:sz w:val="20"/>
        </w:rPr>
        <w:t>);</w:t>
      </w:r>
    </w:p>
    <w:p w14:paraId="310C377A" w14:textId="77777777" w:rsidR="00E51587" w:rsidRDefault="007122BF">
      <w:pPr>
        <w:tabs>
          <w:tab w:val="left" w:pos="1134"/>
        </w:tabs>
        <w:jc w:val="both"/>
        <w:rPr>
          <w:rFonts w:eastAsia="Calibri"/>
          <w:sz w:val="20"/>
        </w:rPr>
      </w:pPr>
      <w:proofErr w:type="spellStart"/>
      <w:proofErr w:type="gramStart"/>
      <w:r>
        <w:rPr>
          <w:rFonts w:eastAsia="Calibri"/>
          <w:sz w:val="20"/>
          <w:lang w:val="en-US"/>
        </w:rPr>
        <w:t>p</w:t>
      </w:r>
      <w:r>
        <w:rPr>
          <w:rFonts w:eastAsia="Calibri"/>
          <w:sz w:val="20"/>
          <w:vertAlign w:val="subscript"/>
          <w:lang w:val="en-US"/>
        </w:rPr>
        <w:t>HG</w:t>
      </w:r>
      <w:proofErr w:type="spellEnd"/>
      <w:proofErr w:type="gramEnd"/>
      <w:r>
        <w:rPr>
          <w:rFonts w:eastAsia="Calibri"/>
          <w:sz w:val="20"/>
          <w:vertAlign w:val="subscript"/>
          <w:lang w:val="en-US"/>
        </w:rPr>
        <w:t>,</w:t>
      </w:r>
      <w:r>
        <w:rPr>
          <w:rFonts w:eastAsia="Calibri"/>
          <w:sz w:val="20"/>
          <w:vertAlign w:val="subscript"/>
        </w:rPr>
        <w:t xml:space="preserve"> </w:t>
      </w:r>
      <w:proofErr w:type="spellStart"/>
      <w:r>
        <w:rPr>
          <w:rFonts w:eastAsia="Calibri"/>
          <w:sz w:val="20"/>
          <w:vertAlign w:val="subscript"/>
        </w:rPr>
        <w:t>dyz</w:t>
      </w:r>
      <w:proofErr w:type="spellEnd"/>
      <w:r>
        <w:rPr>
          <w:rFonts w:eastAsia="Calibri"/>
          <w:sz w:val="20"/>
          <w:vertAlign w:val="subscript"/>
        </w:rPr>
        <w:t xml:space="preserve"> </w:t>
      </w:r>
      <w:r>
        <w:rPr>
          <w:rFonts w:eastAsia="Calibri"/>
          <w:sz w:val="20"/>
        </w:rPr>
        <w:t>– dyzelino kaina (</w:t>
      </w:r>
      <w:proofErr w:type="spellStart"/>
      <w:r>
        <w:rPr>
          <w:rFonts w:eastAsia="Calibri"/>
          <w:sz w:val="20"/>
        </w:rPr>
        <w:t>Eur</w:t>
      </w:r>
      <w:proofErr w:type="spellEnd"/>
      <w:r>
        <w:rPr>
          <w:rFonts w:eastAsia="Calibri"/>
          <w:sz w:val="20"/>
        </w:rPr>
        <w:t>/</w:t>
      </w:r>
      <w:proofErr w:type="spellStart"/>
      <w:r>
        <w:rPr>
          <w:rFonts w:eastAsia="Calibri"/>
          <w:sz w:val="20"/>
        </w:rPr>
        <w:t>t</w:t>
      </w:r>
      <w:r>
        <w:rPr>
          <w:rFonts w:eastAsia="Calibri"/>
          <w:sz w:val="20"/>
          <w:vertAlign w:val="subscript"/>
        </w:rPr>
        <w:t>ne</w:t>
      </w:r>
      <w:proofErr w:type="spellEnd"/>
      <w:r>
        <w:rPr>
          <w:rFonts w:eastAsia="Calibri"/>
          <w:sz w:val="20"/>
        </w:rPr>
        <w:t>).</w:t>
      </w:r>
    </w:p>
    <w:p w14:paraId="3CB90F4C" w14:textId="77777777" w:rsidR="00E51587" w:rsidRDefault="00E51587">
      <w:pPr>
        <w:tabs>
          <w:tab w:val="left" w:pos="1134"/>
        </w:tabs>
        <w:jc w:val="both"/>
        <w:rPr>
          <w:rFonts w:eastAsia="Calibri"/>
          <w:sz w:val="20"/>
        </w:rPr>
      </w:pPr>
    </w:p>
    <w:p w14:paraId="228CB77E" w14:textId="77777777" w:rsidR="00E51587" w:rsidRDefault="007122BF">
      <w:pPr>
        <w:tabs>
          <w:tab w:val="left" w:pos="0"/>
          <w:tab w:val="left" w:pos="993"/>
        </w:tabs>
        <w:ind w:firstLine="720"/>
        <w:jc w:val="both"/>
      </w:pPr>
      <w:r>
        <w:t>3. Konstatuoti, kad:</w:t>
      </w:r>
    </w:p>
    <w:p w14:paraId="0B68314C" w14:textId="77777777" w:rsidR="00E51587" w:rsidRDefault="007122BF">
      <w:pPr>
        <w:tabs>
          <w:tab w:val="left" w:pos="0"/>
          <w:tab w:val="left" w:pos="993"/>
        </w:tabs>
        <w:ind w:firstLine="720"/>
        <w:jc w:val="both"/>
      </w:pPr>
      <w:r>
        <w:t>3.1. šilumos kainos dedamųjų galiojimo metu (</w:t>
      </w:r>
      <w:r>
        <w:rPr>
          <w:szCs w:val="24"/>
        </w:rPr>
        <w:t xml:space="preserve">2015 m. vasario 1 d. – 2016 m. sausio 31 d.) nesugrąžintų papildomai gautų pajamų sumą dėl šilumos kainoje įskaitytų ir faktiškai patirtų sąnaudų kurui įsigyti neatitikties (7,21 tūkst. </w:t>
      </w:r>
      <w:proofErr w:type="spellStart"/>
      <w:r>
        <w:rPr>
          <w:szCs w:val="24"/>
        </w:rPr>
        <w:t>Eur</w:t>
      </w:r>
      <w:proofErr w:type="spellEnd"/>
      <w:r>
        <w:rPr>
          <w:szCs w:val="24"/>
        </w:rPr>
        <w:t xml:space="preserve">) ir šilumos kainos dedamųjų galiojimo metu (2015 m. spalio 1 d. – 2016 m. gruodžio 31 d.) laikotarpiu susidariusių papildomai gautų pajamų suma dėl kuro sąnaudų ar pajamų neatitikimo (460,33 tūkst. </w:t>
      </w:r>
      <w:proofErr w:type="spellStart"/>
      <w:r>
        <w:rPr>
          <w:szCs w:val="24"/>
        </w:rPr>
        <w:t>Eur</w:t>
      </w:r>
      <w:proofErr w:type="spellEnd"/>
      <w:r>
        <w:rPr>
          <w:szCs w:val="24"/>
        </w:rPr>
        <w:t xml:space="preserve">), iš viso 467,54 tūkst. </w:t>
      </w:r>
      <w:proofErr w:type="spellStart"/>
      <w:r>
        <w:rPr>
          <w:szCs w:val="24"/>
        </w:rPr>
        <w:t>Eur</w:t>
      </w:r>
      <w:proofErr w:type="spellEnd"/>
      <w:r>
        <w:rPr>
          <w:szCs w:val="24"/>
        </w:rPr>
        <w:t xml:space="preserve"> papildomai gautų pajamų sumą Vilkaviškio rajono savivaldybės taryba turi įvertinti nustatydama šilumos kainos dedamąsias pirmiesiems šilumos bazinės kainos dedamųjų galiojimo metams;</w:t>
      </w:r>
    </w:p>
    <w:p w14:paraId="3737DFE4" w14:textId="77777777" w:rsidR="00E51587" w:rsidRDefault="007122BF">
      <w:pPr>
        <w:tabs>
          <w:tab w:val="left" w:pos="0"/>
          <w:tab w:val="left" w:pos="993"/>
        </w:tabs>
        <w:ind w:firstLine="720"/>
        <w:jc w:val="both"/>
        <w:rPr>
          <w:szCs w:val="24"/>
        </w:rPr>
      </w:pPr>
      <w:r>
        <w:t>3.2. šilumos kainos dedamųjų galiojimo metu (</w:t>
      </w:r>
      <w:r>
        <w:rPr>
          <w:szCs w:val="24"/>
        </w:rPr>
        <w:t>2015 m. vasario 1 d. – 2016 m. sausio 31 d.)</w:t>
      </w:r>
      <w:r>
        <w:t xml:space="preserve"> nesusigrąžintų nuotolinės duomenų nuskaitymo ir perdavimo sistemos nusidėvėjimo ir priežiūros sąnaudų sumą (3,23 tūkst. </w:t>
      </w:r>
      <w:proofErr w:type="spellStart"/>
      <w:r>
        <w:t>Eur</w:t>
      </w:r>
      <w:proofErr w:type="spellEnd"/>
      <w:r>
        <w:t>)</w:t>
      </w:r>
      <w:r>
        <w:rPr>
          <w:szCs w:val="24"/>
        </w:rPr>
        <w:t xml:space="preserve"> Vilkaviškio rajono savivaldybės taryba turi įvertinti nustatydama šilumos kainos dedamąsias pirmiesiems šilumos bazinės kainos dedamųjų galiojimo metams.</w:t>
      </w:r>
    </w:p>
    <w:p w14:paraId="7594F8E7" w14:textId="6B8EF163" w:rsidR="00E51587" w:rsidRDefault="007122BF">
      <w:pPr>
        <w:tabs>
          <w:tab w:val="left" w:pos="0"/>
          <w:tab w:val="left" w:pos="993"/>
        </w:tabs>
        <w:ind w:firstLine="720"/>
        <w:jc w:val="both"/>
        <w:rPr>
          <w:szCs w:val="24"/>
        </w:rPr>
      </w:pPr>
      <w:r>
        <w:rPr>
          <w:szCs w:val="24"/>
        </w:rPr>
        <w:t xml:space="preserve">3.3. </w:t>
      </w:r>
      <w:r>
        <w:t>šilumos kainos dedamųjų galiojimo metu (</w:t>
      </w:r>
      <w:r>
        <w:rPr>
          <w:szCs w:val="24"/>
        </w:rPr>
        <w:t>2015 m. vasario 1 d. – 2016 m. birželio 30 d.) laikotarpiu papildomai gautos pajamos dėl mokestinių įsipareigojimų sąnaudų ir 2016 m. sausio 1 d. – 2018 m. gruodžio 31 d. laikotarpiu patirtos mokestinių įsipareigojimų sąnaudos sudaro 25,05 tūkst. </w:t>
      </w:r>
      <w:proofErr w:type="spellStart"/>
      <w:r>
        <w:rPr>
          <w:szCs w:val="24"/>
        </w:rPr>
        <w:t>Eur</w:t>
      </w:r>
      <w:proofErr w:type="spellEnd"/>
      <w:r>
        <w:rPr>
          <w:szCs w:val="24"/>
        </w:rPr>
        <w:t>. Vilkaviškio rajono savivaldybės taryba nesusigrąžintas sąnaudas turi įvertinti nustatydama šilumos kainos dedamąsias pirmiesiems šilumos bazinės kainos dedamųjų galiojimo metams.</w:t>
      </w:r>
    </w:p>
    <w:p w14:paraId="6F1DB645" w14:textId="0F94AB60" w:rsidR="00E51587" w:rsidRDefault="007122BF">
      <w:pPr>
        <w:tabs>
          <w:tab w:val="left" w:pos="0"/>
          <w:tab w:val="left" w:pos="993"/>
        </w:tabs>
        <w:ind w:firstLine="720"/>
        <w:jc w:val="both"/>
        <w:rPr>
          <w:szCs w:val="24"/>
        </w:rPr>
      </w:pPr>
      <w:r>
        <w:rPr>
          <w:szCs w:val="24"/>
        </w:rPr>
        <w:t xml:space="preserve">3.4. 2014–2016 m. laikotarpiu susidariusią 4,13 tūkst. </w:t>
      </w:r>
      <w:proofErr w:type="spellStart"/>
      <w:r>
        <w:rPr>
          <w:szCs w:val="24"/>
        </w:rPr>
        <w:t>Eur</w:t>
      </w:r>
      <w:proofErr w:type="spellEnd"/>
      <w:r>
        <w:rPr>
          <w:szCs w:val="24"/>
        </w:rPr>
        <w:t xml:space="preserve"> nepadengtų šilumos tiekimo veiklos sąnaudų, susidariusių dėl ūkio subjekto valios nepriklausančių veiksnių, sumą Vilkaviškio rajono savivaldybės taryba turi įvertinti nustatydama šilumos kainos dedamąsias pirmiesiems šilumos bazinės kainos dedamųjų galiojimo metams.</w:t>
      </w:r>
    </w:p>
    <w:p w14:paraId="7C61E618" w14:textId="7E774376" w:rsidR="00E51587" w:rsidRDefault="007122BF" w:rsidP="007122BF">
      <w:pPr>
        <w:ind w:firstLine="710"/>
        <w:jc w:val="both"/>
        <w:rPr>
          <w:lang w:eastAsia="lt-LT"/>
        </w:rPr>
      </w:pPr>
      <w:r>
        <w:rPr>
          <w:iCs/>
          <w:color w:val="000000"/>
          <w:lang w:eastAsia="lt-LT"/>
        </w:rPr>
        <w:t>Šis nutarimas gali būti skundžiamas Lietuvos Respublikos administracinių bylų teisenos įstatymo nustatyta tvarka ir sąlygomis.</w:t>
      </w:r>
    </w:p>
    <w:p w14:paraId="488A90E3" w14:textId="77777777" w:rsidR="007122BF" w:rsidRDefault="007122BF">
      <w:pPr>
        <w:spacing w:line="276" w:lineRule="auto"/>
        <w:jc w:val="both"/>
      </w:pPr>
    </w:p>
    <w:p w14:paraId="1F7F0B69" w14:textId="77777777" w:rsidR="007122BF" w:rsidRDefault="007122BF">
      <w:pPr>
        <w:spacing w:line="276" w:lineRule="auto"/>
        <w:jc w:val="both"/>
      </w:pPr>
    </w:p>
    <w:p w14:paraId="67E57284" w14:textId="77777777" w:rsidR="007122BF" w:rsidRDefault="007122BF">
      <w:pPr>
        <w:spacing w:line="276" w:lineRule="auto"/>
        <w:jc w:val="both"/>
      </w:pPr>
    </w:p>
    <w:p w14:paraId="52C5311C" w14:textId="06E52312" w:rsidR="00E51587" w:rsidRDefault="007122BF">
      <w:pPr>
        <w:spacing w:line="276" w:lineRule="auto"/>
        <w:jc w:val="both"/>
        <w:rPr>
          <w:lang w:eastAsia="lt-LT"/>
        </w:rPr>
      </w:pPr>
      <w:r>
        <w:rPr>
          <w:lang w:eastAsia="lt-LT"/>
        </w:rPr>
        <w:t>Tarybos pirmininkė                                                                                                         Inga Žilienė</w:t>
      </w:r>
    </w:p>
    <w:sectPr w:rsidR="00E51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1412D" w14:textId="77777777" w:rsidR="00617577" w:rsidRDefault="00617577">
      <w:pPr>
        <w:jc w:val="both"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14C0F973" w14:textId="77777777" w:rsidR="00617577" w:rsidRDefault="00617577">
      <w:pPr>
        <w:jc w:val="both"/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74E21414" w14:textId="77777777" w:rsidR="00617577" w:rsidRDefault="00617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E964F" w14:textId="77777777" w:rsidR="00E51587" w:rsidRDefault="007122BF">
    <w:pPr>
      <w:framePr w:wrap="auto" w:vAnchor="text" w:hAnchor="margin" w:xAlign="center" w:y="1"/>
      <w:tabs>
        <w:tab w:val="center" w:pos="4153"/>
        <w:tab w:val="right" w:pos="8306"/>
      </w:tabs>
      <w:jc w:val="both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1</w:t>
    </w:r>
    <w:r>
      <w:rPr>
        <w:lang w:eastAsia="lt-LT"/>
      </w:rPr>
      <w:fldChar w:fldCharType="end"/>
    </w:r>
  </w:p>
  <w:p w14:paraId="65195619" w14:textId="77777777" w:rsidR="00E51587" w:rsidRDefault="00E51587">
    <w:pPr>
      <w:tabs>
        <w:tab w:val="center" w:pos="4153"/>
        <w:tab w:val="right" w:pos="8306"/>
      </w:tabs>
      <w:jc w:val="both"/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D1FF5" w14:textId="77777777" w:rsidR="00E51587" w:rsidRDefault="00E51587">
    <w:pPr>
      <w:tabs>
        <w:tab w:val="center" w:pos="4153"/>
        <w:tab w:val="right" w:pos="8306"/>
      </w:tabs>
      <w:jc w:val="both"/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3F5E" w14:textId="77777777" w:rsidR="00E51587" w:rsidRDefault="00E51587">
    <w:pPr>
      <w:tabs>
        <w:tab w:val="center" w:pos="4153"/>
        <w:tab w:val="right" w:pos="8306"/>
      </w:tabs>
      <w:jc w:val="right"/>
      <w:rPr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FAF80" w14:textId="77777777" w:rsidR="00617577" w:rsidRDefault="00617577">
      <w:pPr>
        <w:jc w:val="both"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7C013396" w14:textId="77777777" w:rsidR="00617577" w:rsidRDefault="00617577">
      <w:pPr>
        <w:jc w:val="both"/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0626ADC7" w14:textId="77777777" w:rsidR="00617577" w:rsidRDefault="006175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CACE1" w14:textId="77777777" w:rsidR="00E51587" w:rsidRDefault="00E51587">
    <w:pPr>
      <w:tabs>
        <w:tab w:val="center" w:pos="4153"/>
        <w:tab w:val="right" w:pos="8306"/>
      </w:tabs>
      <w:jc w:val="both"/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133EB" w14:textId="77777777" w:rsidR="00E51587" w:rsidRDefault="007122BF">
    <w:pPr>
      <w:tabs>
        <w:tab w:val="center" w:pos="4153"/>
        <w:tab w:val="right" w:pos="8306"/>
      </w:tabs>
      <w:jc w:val="center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 PAGE </w:instrText>
    </w:r>
    <w:r>
      <w:rPr>
        <w:lang w:eastAsia="lt-LT"/>
      </w:rPr>
      <w:fldChar w:fldCharType="separate"/>
    </w:r>
    <w:r w:rsidR="00581D8E">
      <w:rPr>
        <w:noProof/>
        <w:lang w:eastAsia="lt-LT"/>
      </w:rPr>
      <w:t>2</w:t>
    </w:r>
    <w:r>
      <w:rPr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0DF5C" w14:textId="77777777" w:rsidR="00E51587" w:rsidRDefault="00E51587">
    <w:pPr>
      <w:tabs>
        <w:tab w:val="center" w:pos="4153"/>
        <w:tab w:val="right" w:pos="8306"/>
      </w:tabs>
      <w:jc w:val="both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EB"/>
    <w:rsid w:val="00185DEB"/>
    <w:rsid w:val="00581D8E"/>
    <w:rsid w:val="00617577"/>
    <w:rsid w:val="007122BF"/>
    <w:rsid w:val="00E5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8520A"/>
  <w15:docId w15:val="{7A176284-D5AB-450E-A3D9-CCA6D34C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12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FE0A-3D81-477E-BBC9-51E5C689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VALSTYBINĖ KAINŲ IR ENERGETIKOS KONTROLĖS KOMISIJA</vt:lpstr>
    </vt:vector>
  </TitlesOfParts>
  <Company>KPC</Company>
  <LinksUpToDate>false</LinksUpToDate>
  <CharactersWithSpaces>6375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VALSTYBINĖ KAINŲ IR ENERGETIKOS KONTROLĖS KOMISIJA</dc:title>
  <dc:creator>Agne Dusevičienė</dc:creator>
  <cp:lastModifiedBy>Greta PLADIENĖ</cp:lastModifiedBy>
  <cp:revision>2</cp:revision>
  <cp:lastPrinted>2014-01-30T11:05:00Z</cp:lastPrinted>
  <dcterms:created xsi:type="dcterms:W3CDTF">2019-12-31T11:37:00Z</dcterms:created>
  <dcterms:modified xsi:type="dcterms:W3CDTF">2019-12-31T11:37:00Z</dcterms:modified>
</cp:coreProperties>
</file>